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241 vom 6. Juli 1990</w:t>
      </w:r>
    </w:p>
    <w:p>
      <w:r>
        <w:t>Bundesgericht (BGE), 1990-07-06, DE</w:t>
      </w:r>
    </w:p>
    <w:p>
      <w:r>
        <w:rPr>
          <w:b/>
        </w:rPr>
        <w:t xml:space="preserve">Quelle: </w:t>
      </w:r>
      <w:r>
        <w:t>https://mcp.opencaselaw.ch/entscheid/bge_116 IB 241</w:t>
      </w:r>
    </w:p>
    <w:p>
      <w:r>
        <w:t>FR: BGE 116 IB 241 du 6 juillet 1990</w:t>
      </w:r>
    </w:p>
    <w:p>
      <w:r>
        <w:t>IT: BGE 116 IB 241 del 6 luglio 1990</w:t>
      </w:r>
    </w:p>
    <w:p>
      <w:pPr>
        <w:pStyle w:val="Heading2"/>
      </w:pPr>
      <w:r>
        <w:t>Regeste</w:t>
      </w:r>
    </w:p>
    <w:p>
      <w:r>
        <w:t>Regeste Zuständigkeit des Präsidenten der Eidg. Schätzungskommission, vorzeitige Besitzeinweisung (Art. 76 EntG). Streitigkeiten über Vereinbarungen, die nach Eröffnung des Enteignungsverfahrens abgeschlossen werden und deshalb öffentlichrechtlicher Natur sind, sind nicht vom Zivil-, sondern vom Verwaltungsrichter zu beurteilen (E. 2). Über Natur, Umfang und Inhalt der zu enteignenden Rechte entscheidet die Einsprachebehörde. Der Schätzungskommissions-Präsident hat daher weder im Besitzeinweisungsverfahren noch sonst darüber zu befinden, inwieweit und in welcher Form dem Enteigner das Eigentum an der von ihm unter öffentlichem Grund erstellten unterirdischen Baute zu übertragen sei (E. 3). Der Umfang der vorzeitigen Besitzeinweisung bestimmt sich, soweit die Voraussetzungen von Art. 76 EntG erfüllt sind, nach den Enteignungs- und Werkplänen bzw. - bei Enteignungen für Eisenbahnbauten - nach der Plangenehmigungsverfügung (E. 4). Der Schätzungskommissions-Präsident ist auch nicht befugt, im Besitzeinweisungsverfahren über die Bedürfnisse des Bahnbaues und das Bedürfnis zur Einrichtung von Nebenbetrieben zu urteilen; gemäss Art. 40 Abs. 1 lit. a und g des Eisenbahngesetzes entscheidet die Aufsichtsbehörde über solche Anstände (E. 5).</w:t>
      </w:r>
    </w:p>
    <w:p>
      <w:pPr>
        <w:pStyle w:val="Heading2"/>
      </w:pPr>
      <w:r>
        <w:t>Erwägungen</w:t>
      </w:r>
    </w:p>
    <w:p>
      <w:r>
        <w:rPr>
          <w:b/>
        </w:rPr>
        <w:t>E. 2</w:t>
      </w:r>
    </w:p>
    <w:p>
      <w:r>
        <w:t>Der Präsident der Schätzungskommission hat in der angefochtenen Verfügung seine Zuständigkeit zur Beurteilung des von der Stadt Zürich gestellten Begehrens aus verschiedenen Gründen verneint und zunächst ausgeführt, eine negative Feststellungsklage des Enteigneten sei im Enteignungsgesetz nicht vorgesehen und auch nicht notwendig, da sich der Grundeigentümer mit seinen ihm durch das Zivilgesetzbuch eingeräumten Abwehrrechten gegen unberechtigte Eingriffe zur Wehr setzen und hiezu den Zivilrichter anrufen könne. Dieser Betrachtungsweise ist jedoch im vorliegenden Fall nicht zu folgen. Es ist unbestritten, dass die Enteignerinnen den Schätzungskommissions-Präsidenten nie um Erlaubnis zur vorzeitigen Inbesitznahme der Grundstücke der Stadt Zürich ersuchen mussten, vielmehr haben die Stadt und die SBB verschiedene Vereinbarungen über die Inanspruchnahme der Strassenflächen, über die Inangriffnahme der Bauarbeiten sowie über die Art der Bauausführung geschlossen. Diese Vereinbarungen sind, da sie nach Eröffnung des Enteignungsverfahrens getroffen wurden, öffentlichrechtlicher Natur und stellen Enteignungsverträge dar. Über die Frage, wie weit die Enteignerinnen mit ausdrücklichem oder BGE 116 Ib 241 S. 245 stillschweigendem Einverständnis der Stadt in deren Grundeigentum haben eingreifen dürfen, hat daher nicht der Zivilrichter, sondern die Verwaltungsbehörde bzw. der Verwaltungsrichter zu entscheiden ( BGE 114 Ib 147 ff. E. 3b mit den dort zitieren Entscheiden). Das heisst allerdings noch nicht, dass der Schätzungskommissions-Präsident zur Behandlung des Begehrens der Stadt Zürich kompetent gewesen wäre.</w:t>
      </w:r>
    </w:p>
    <w:p>
      <w:r>
        <w:rPr>
          <w:b/>
        </w:rPr>
        <w:t>E. 3</w:t>
      </w:r>
    </w:p>
    <w:p>
      <w:r>
        <w:t>Im angefochtenen Entscheid wird weiter dargelegt, der Enteignungsrichter habe weder im Besitzeinweisungsverfahren noch sonst darüber zu befinden, welche öffentlichen Werke bzw. welche Teile eines Werkes auf welchen Grundstücken errichtet werden dürften; dies sei Gegenstand des Einspracheverfahrens. Es müsse daher von der Einsprachebehörde beurteilt werden, welche Rechte den SBB als Enteignerinnen an den kommerziell genutzten Teilen der Bahnhofanlage einzuräumen bzw. welche Rechte der Stadt Zürich als Grundeigentümerin zu belassen seien. Diesen Überlegungen ist trotz der Kritik der Beschwerdeführerin zuzustimmen. a) Zu Recht stellt die Beschwerdeführerin an sich nicht in Frage, dass auch der öffentliche, im Gemeingebrauch stehende Grund Gegenstand der Enteignung bilden kann. Enteignet werden können gemäss Art. 5 in Verbindung mit Art. 7 Abs. 1 des Bundesgesetzes über die Enteignung (abgesehen von den hier nicht interessierenden persönlichen Rechten von Mietern und Pächtern) alle dinglichen Rechte an Grundstücken, die privaten oder öffentlichen Zwecken dienen (vgl. BGE 104 Ib 347 E. 6a, 352 f.). Diese Rechte dürfen nach Art. 5 Abs. 2 EntG dauernd oder vorübergehend entzogen oder beschränkt werden, wobei sie auf den Enteigner zu übertragen sind, falls er sie für sein Werk benötigt, oder unterdrückt werden, wenn sie das Unternehmen lediglich behindern ( BGE 116 Ib 16 f. E. 2aa, 22 f. E. 3b). Art. 5 EntG umschreibt das Objekt der Enteignung abschliessend. Das heisst einerseits, dass auf dem Wege der (Teil-)Enteignung keine dinglichen Rechte geschaffen werden können, die das Zivilrecht nicht vorsieht oder ausdrücklich ausschliesst, wie etwa das Baurecht an einzelnen Stockwerken eines Gebäudes ( Art. 675 Abs. 2 ZGB ; BGE 105 Ib 191 ff., s. auch BGE 106 Ib 235 E. 3). Es bedeutet andererseits, dass nur private Rechte als Gegenstand der Expropriation in Betracht fallen und dem Gemeinwesen für die Einschränkung von Hoheitsrechten, selbst wenn diese mittelbar auf den Bau eines öffentlichen Werkes zurückzuführen ist, kein Anspruch auf BGE 116 Ib 241 S. 246 Enteignungsentschädigung zusteht ( BGE 109 Ib 34 , BGE 101 Ib 59 ff. E. 3). Im übrigen ist die Enteignung von Grundstücken, die einem öffentlichen Zweck dienen, nur zulässig, falls der Enteigner die Fortbenützung bestehender öffentlicher Einrichtungen sicherstellt, soweit dies durch das öffentliche Interesse gefordert wird ( Art. 7 Abs. 2 EntG , BGE 104 Ib 347 , 352). Über die Natur, den Umfang und Inhalt der zu enteignenden Rechte sowie über die Frage, ob und inwieweit die Voraussetzungen für eine Enteignung überhaupt erfüllt seien, entscheidet - abgesehen von den Ausdehnungsbegehren - nicht die Schätzungskommission, sondern die Einsprachebehörde, in der Regel das in der Sache zuständige Departement ( Art. 35 und 55 EntG ; BGE 111 Ib 228 E. 2a, 109 Ib 133 E. 2a, BGE 108 Ib 376 f. E. 2, BGE 103 Ib 94 ). Ebenfalls im Einspracheverfahren zu beurteilen sind die Planänderungsgesuche und die Begehren gemäss Art. 7-10 EntG , so auch die Gesuche um Vorkehren zur Sicherstellung von öffentlichen Einrichtungen wie Wege und Brücken ( Art. 7 Abs. 2 EntG ; vgl. BGE 114 Ib 35 , 111 Ib 282 ff., BGE 108 Ib 497 ). Dagegen befindet die Schätzungskommission im Anschluss an den Einspracheentscheid darüber, ob trotz solcher Vorkehren des Enteigners ein Schaden entstanden sei ( Art. 64 Abs. 1 lit c EntG ; BGE 111 Ib 283 E. 2, 104 Ib 355 E. 3), wem die frei gewordenen und neu erstellten Anlagen gehörten und wer für deren Unterhalt aufzukommen habe ( Art. 26 und 64 Abs. 1 lit. d EntG ). b) Im vorliegenden Fall ist umstritten, welche Rechte den Enteignerinnen für den Bau und Betrieb des unterirdischen Bahnhofes zu übertragen seien. Die SBB vertreten sogar die Ansicht, sie brauchten das Enteignungsrecht überhaupt nicht auszuüben, da die Bahn die Museumstrasse unterirdisch kreuze und ihr nach Art. 25 EBG ein Legalservitut für die unentgeltliche Benützung von Grund und Boden an der Kreuzungsstelle zustehe; allenfalls sei den SBB im Enteignungsverfahren eine Personaldienstbarkeit für den Betrieb der ganzen Anlage einzuräumen. Demgegenüber bleibt die Stadt Zürich bei der Auffassung, dass die SBB an den kommerziell genutzten Flächen keine Rechte auf dem Enteignungswege erwerben könnten. Der Entscheid darüber, inwieweit hier die Enteignung statthaft sei und ob den SBB allenfalls nach der Anregung des Schätzungskommissions-Präsidenten ein selbständiges und dauerndes - allerdings auf hundert Jahre befristetes ( Art. 779l Abs. 1 ZGB , BGE 99 Ia 478 ) - Baurecht zu bestellen, eine andere Dienstbarkeit ( Art. 781 ZGB ) oder ein BGE 116 Ib 241 S. 247 Überbaurecht ( Art. 674 ZGB ) einzuräumen sei, fällt aber nach dem Gesagten in die Kompetenz der Einspracheinstanz. Die Akten sind daher zu Recht dem Eidgenössischen Verkehrs- und Energiewirtschaftsdepartement zum Einspracheentscheid überwiesen worden.</w:t>
      </w:r>
    </w:p>
    <w:p>
      <w:r>
        <w:rPr>
          <w:b/>
        </w:rPr>
        <w:t>E. 4</w:t>
      </w:r>
    </w:p>
    <w:p>
      <w:r>
        <w:t>Der Schätzungskommissions-Präsident hat im übrigen darauf hingewiesen, dass im vorliegenden Fall, in dem das Enteignungsverfahren getrennt vom Plangenehmigungsverfahren durchgeführt werde, die Gewährung oder Verweigerung der vorzeitigen Besitzeinweisung sich allein nach Art. 76 EntG richte. Indessen bestimme sich der Umfang der Besitzeinweisung anhand der Plangenehmigung, die für den Enteignungsrichter verbindlich sei. Hätten die SBB ein Gesuch um Besitzeinweisung gestellt, hätte diese daher für die ganze bewilligte Anlage gewährt werden müssen und wäre es unzulässig gewesen, einzelne Bauteile ihrer unterschiedlichen Nutzung wegen auszuklammern. Auch diesen Erwägungen kann im Ergebnis beigepflichtet werden. a) Der Enteigner erwirbt das Eigentum am enteigneten Grundstück oder das auf dem Enteignungswege an einem Grundstück eingeräumte Recht erst durch die Bezahlung der Entschädigung oder des nach Art. 19bis Abs. 2 EntG festgesetzten Betrages ( Art. 91 Abs. 1 EntG ). Vor der Bezahlung der Entschädigung kann er einzig unter den in Art. 76 EntG genannten Voraussetzungen zur vorzeitigen Besitzergreifung oder Ausübung der Rechte ermächtigt werden. Die vorzeitige Besitzeinweisung ist seit der Revision des Enteignungsgesetzes im Jahre 1971 schon möglich, bevor über die Einsprachen und Begehren nach Art. 7-10 EntG rechtskräftig entschieden ist, wobei zusätzlich vorausgesetzt wird, dass keine bei nachträglicher Gutheissung der Einsprachen nicht wiedergutzumachenden Schäden entstehen ( Art. 76 Abs. 4 EntG ). Dies muss mit Blick auf den Zweck der Gesetzesreform (vgl. BGE 115 Ib 22 E. 5a und dort zitierte Entscheide) auch gelten, wenn im Einspracheverfahren - wie hier - umstritten ist, welcher Art die an das Unternehmen abzutretenden Rechte seien oder wie sie im einzelnen ausgestaltet werden müssten. b) Der Umfang der vorzeitigen Besitzeinweisung bestimmt sich, wie der Schätzungskommissions-Präsident festgestellt hat, nach dem Werkplan, den Enteignungsplänen sowie nach dem - unter dem Gesichtspunkt der Dringlichkeit zu prüfenden - Bauprogramm. Entgegen dem angefochtenen Entscheid wird allerdings auch in Enteignungsverfahren, die losgelöst vom eisenbahnrechtlichen Plangenehmigungsverfahren ablaufen, für die vorzeitige BGE 116 Ib 241 S. 248 Besitzergreifung zunächst verlangt, dass der Stand des Plangenehmigungsverfahrens die Inangriffnahme der Bauarbeiten gestatte. Das ergibt sich für die altrechtlichen Verfahren aus Art. 34 der Verordnung über die Planvorlagen für Eisenbahnbauten vom 23. Dezember 1932 und für das neue sog. ordentliche Verfahren aus Art. 34 Abs. 1 der am 26. November 1984 revidierten Verordnung, welche beide den Baubeginn erst erlauben, wenn die Plangenehmigungsverfügung in Rechtskraft erwachsen ist. Dagegen muss nach unlängst ergangenem bundesgerichtlichem Urteil im sog. kombinierten Verfahren bei Weiterzug der vom Bundesamt für Verkehr erlassenen Plangenehmigungsverfügung nur der Departementsentscheid abgewartet werden ( BGE 115 Ib 424 ff.). Diese Ungenauigkeit der Erwägungen des Schätzungskommissions-Präsidenten ist jedoch unerheblich, sind doch im vorliegenden Fall die Plangenehmigungsverfügungen für den Bahnhof Museumstrasse längst rechtskräftig (Generelle Plangenehmigungsverfügung für die Zürcher S-Bahn vom 9. November 1983, Plangenehmigungsverfügung für die oberirdisch in Erscheinung tretenden Anlageteile im Bereich Museumstrasse vom 1. Oktober 1985 und Plangenehmigungsverfügung über den Um- und Ausbau des Annahmegebäudes des HB Zürich sowie über den Innenausbau des Bahnhofes Museumstrasse vom 26. März 1986). c) Aus den genannten Plangenehmigungsverfügungen ergibt sich, dass die Erstellung des ganzen die Bahn- und übrigen Anlagen aufnehmenden Baukubus bewilligt worden ist, der teils unter dem bestehenden Hauptbahnhof-Gebäude und teils unter der Museumstrasse liegt. Die vorzeitige Besitzergreifung hätte daher, wäre um sie ersucht worden, für das ganze Bauvolumen gewährt werden müssen. Die Frage, welche dinglichen Rechte den SBB schliesslich an der unterirdischen Baute zu übertragen seien und ob allenfalls gewisse Teile davon im Eigentum und Nutzen der Stadt Zürich verbleiben müssten, ist wie erwähnt nicht im Besitzeinweisungs-, sondern im Einspracheverfahren abzuklären. Für die Besitzeinweisung hätte die Feststellung genügt, dass der Enteigner für den Bau des Werkes über das ganze fragliche Bauvolumen sowie vorübergehend über den für die Bauarbeiten benötigten weiteren Boden verfügen musste. Eine Aussparung gewisser Flächen oder Räume, wie sie die Stadt Zürich verlangt, wäre denn auch aus bautechnischen Gründen nicht möglich gewesen. Im übrigen hätte auch die zusätzliche Bedingung von Art. 76 Abs. 4 EntG - dass keine nicht wiedergutzumachenden Schäden BGE 116 Ib 241 S. 249 verursacht werden - der vorzeitigen Besitzeinweisung nicht entgegengestanden, da bei einer Gutheissung der Einsprache der Stadt Zürich lediglich finanzielle Verpflichtungen der Enteignerinnen entstehen, denen diese noch jederzeit nachkommen können.</w:t>
      </w:r>
    </w:p>
    <w:p>
      <w:r>
        <w:rPr>
          <w:b/>
        </w:rPr>
        <w:t>E. 5</w:t>
      </w:r>
    </w:p>
    <w:p>
      <w:r>
        <w:t>Schliesslich hat der Schätzungskommissions-Präsident zu Recht bemerkt, das Besitzeinweisungsverfahren könne nicht der Ort sein, um darüber zu befinden, inwieweit die SBB in den unterirdischen Räumlichkeiten Nebenbetriebe im Sinne von Art. 39 Abs. 1 des Eisenbahngesetzes (EBG) einrichten oder andere kommerzielle Tätigkeiten ausüben dürften und welchen gewerbe-, gesundheits- und wirtschaftspolizeilichen Vorschriften diese Betriebe unterstünden. Über solche Anstände entscheidet gemäss Art. 40 Abs. 1 lit. g EBG die Aufsichtsbehörde, somit das Bundesamt für Verkehr. Dass Auseinandersetzungen dieser Art auch entstehen können, wo keine Enteignung im Gange ist, braucht übrigens kaum betont zu werden, streiten sich doch die Parteien nicht nur über die Nebenbetriebe unter der Museumstrasse, sondern über alle im Hauptbahnhof Zürich einzurichtenden Geschäfte. Der Vollständigkeit halber sei beigefügt, dass die Prüfung der Frage, ob für die Nebenbetriebe ein Plangenehmigungsverfahren im Sinne von Art. 18 EBG durchzuführen sei oder diese gemäss Art. 18a EBG einer kantonalen Baubewilligung bedürften, ebenfalls nicht dem Schätzungskommissions-Präsidenten obliegt. Auch über solche Streitigkeiten entscheidet nach ausdrücklicher gesetzlicher Bestimmung die Aufsichtsbehörde ( Art. 40 lit. a EBG ), deren Verfügung beim Departement und schliesslich - da es um die Abgrenzung von kantonalem und Bundesrecht geht ( BGE 111 Ib 38 , nicht publ. E. 1) - mit Verwaltungsgerichtsbeschwerde beim Bundesgericht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